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09" w:rsidRPr="00063C09" w:rsidRDefault="00063C09" w:rsidP="00063C09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aps/>
          <w:color w:val="000000"/>
          <w:kern w:val="36"/>
          <w:sz w:val="29"/>
          <w:szCs w:val="29"/>
          <w:bdr w:val="none" w:sz="0" w:space="0" w:color="auto" w:frame="1"/>
          <w:lang w:val="de-DE" w:eastAsia="hr-HR"/>
        </w:rPr>
        <w:t>MINISTARSTVO ZA OBRT, MALO I SREDNJE PODUZETNIŠTVO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152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58. stavak 2. Zakona o obrtu, («Narodne novine», br. 49/03), ministar za obrt, malo i srednje poduzetništvo, nakon prethodno pribavljena mišljenja Hrvatske obrtničke komore, donosi</w:t>
      </w:r>
    </w:p>
    <w:p w:rsidR="00063C09" w:rsidRPr="00063C09" w:rsidRDefault="00063C09" w:rsidP="00063C0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sz w:val="36"/>
          <w:szCs w:val="36"/>
          <w:bdr w:val="none" w:sz="0" w:space="0" w:color="auto" w:frame="1"/>
          <w:lang w:val="de-DE" w:eastAsia="hr-HR"/>
        </w:rPr>
        <w:t>PROGRAM</w:t>
      </w:r>
    </w:p>
    <w:p w:rsidR="00063C09" w:rsidRPr="00063C09" w:rsidRDefault="00063C09" w:rsidP="00063C09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bdr w:val="none" w:sz="0" w:space="0" w:color="auto" w:frame="1"/>
          <w:lang w:val="de-DE" w:eastAsia="hr-HR"/>
        </w:rPr>
        <w:t>MAJSTORSKOG ISPITA ZA ZVANJE</w:t>
      </w:r>
      <w:r w:rsidRPr="00063C09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bdr w:val="none" w:sz="0" w:space="0" w:color="auto" w:frame="1"/>
          <w:lang w:val="de-DE" w:eastAsia="hr-HR"/>
        </w:rPr>
        <w:br/>
        <w:t>MAJSTOR ELEKTRONIČAR-MEHANIČAR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I.</w:t>
      </w:r>
    </w:p>
    <w:p w:rsidR="00063C09" w:rsidRPr="00063C09" w:rsidRDefault="00063C09" w:rsidP="00063C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Majstorski ispit sastoji se od zajedničkog dijela koji obuhvaća potrebita znanja nužna za bavljenje obrtom i poduzetništvom te posebnog dijela koji se odnosi na svako pojedino zanimanje.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Na zajedni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kom ispitu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,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ispitna pitanja postavljaju se iz sljede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ih ispitnih podru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ja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hr-HR"/>
        </w:rPr>
        <w:t>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gospodarstvo i pravni propisi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hr-HR"/>
        </w:rPr>
        <w:t>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osnove podu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avanja nau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nika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III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Podru</w:t>
      </w: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je gospodarstva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obuhva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 sljede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 programske cjeline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063C09" w:rsidRPr="00063C09" w:rsidRDefault="00063C09" w:rsidP="00063C09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</w:pPr>
      <w:r w:rsidRPr="00063C09">
        <w:rPr>
          <w:rFonts w:ascii="Minion Pro" w:eastAsia="Times New Roman" w:hAnsi="Minion Pro" w:cs="Times New Roman"/>
          <w:i/>
          <w:iCs/>
          <w:color w:val="000000"/>
          <w:sz w:val="24"/>
          <w:szCs w:val="24"/>
          <w:bdr w:val="none" w:sz="0" w:space="0" w:color="auto" w:frame="1"/>
          <w:lang w:val="en-GB" w:eastAsia="hr-HR"/>
        </w:rPr>
        <w:t>Vođenje poslovanja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6112"/>
      </w:tblGrid>
      <w:tr w:rsidR="00063C09" w:rsidRPr="00063C09" w:rsidTr="00063C09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Organizacija poslovanja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 obrt, trgovačko društvo)</w:t>
            </w:r>
          </w:p>
        </w:tc>
      </w:tr>
      <w:tr w:rsidR="00063C09" w:rsidRPr="00063C09" w:rsidTr="00063C09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Od ideje do poslovnog plana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</w:t>
            </w:r>
          </w:p>
        </w:tc>
      </w:tr>
      <w:tr w:rsidR="00063C09" w:rsidRPr="00063C09" w:rsidTr="00063C09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Poslovni plan kao poduzetničko oruđe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(sredstva za  nabavu dugotrajne imovine, obrtna sredstva i investicije)</w:t>
            </w:r>
          </w:p>
        </w:tc>
      </w:tr>
      <w:tr w:rsidR="00063C09" w:rsidRPr="00063C09" w:rsidTr="00063C09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Komuniciranje s djelatnicima i strankama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(značenje komuniciranja, vrste komunikacija, etika poslovnog komuniciranja)</w:t>
            </w:r>
          </w:p>
        </w:tc>
      </w:tr>
      <w:tr w:rsidR="00063C09" w:rsidRPr="00063C09" w:rsidTr="00063C09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Metode rukovođenja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(stilovi i metode rukovođenja,  tehnike motiviranja tehnike rješavanja konflikata)</w:t>
            </w:r>
          </w:p>
        </w:tc>
      </w:tr>
      <w:tr w:rsidR="00063C09" w:rsidRPr="00063C09" w:rsidTr="00063C09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Uloga ra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unala u poslovanju</w:t>
            </w: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osnovna znanja informatike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funkcije ra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unala u poslovanju obrta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line="630" w:lineRule="atLeast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Osnove marketinga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7458"/>
      </w:tblGrid>
      <w:tr w:rsidR="00063C09" w:rsidRPr="00063C09" w:rsidTr="00063C09"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Značenje prodaje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</w:t>
            </w:r>
          </w:p>
        </w:tc>
      </w:tr>
      <w:tr w:rsidR="00063C09" w:rsidRPr="00063C09" w:rsidTr="00063C09"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te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novi trendovi na podru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ju marketinga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na strategija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metode prodaje i komunikacije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poznavanje konkurencije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istra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ivanje tr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Tro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kovi i kalkulacije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(vrste troškova , kalkulacija cijene proizvoda i usluga, pokazatelji poslovanja)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line="630" w:lineRule="atLeast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Financijsko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-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ekonomsko podru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je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1"/>
        <w:gridCol w:w="5803"/>
      </w:tblGrid>
      <w:tr w:rsidR="00063C09" w:rsidRPr="00063C09" w:rsidTr="00063C09"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Porezi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porezni sustav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vrste poreza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porezno zakonodavstvo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)</w:t>
            </w:r>
          </w:p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 </w:t>
            </w:r>
          </w:p>
        </w:tc>
      </w:tr>
      <w:tr w:rsidR="00063C09" w:rsidRPr="00063C09" w:rsidTr="00063C09"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lastRenderedPageBreak/>
              <w:t>Vo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đ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enje poslovnih knjiga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Platni promet</w:t>
            </w:r>
          </w:p>
        </w:tc>
        <w:tc>
          <w:tcPr>
            <w:tcW w:w="5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ini pla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ini osiguranja naplate 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potra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ivanja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line="630" w:lineRule="atLeast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Za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š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tita okoli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š</w:t>
      </w:r>
      <w:r w:rsidRPr="00063C09">
        <w:rPr>
          <w:rFonts w:ascii="Minion Pro" w:eastAsia="Times New Roman" w:hAnsi="Minion Pro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a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49"/>
      </w:tblGrid>
      <w:tr w:rsidR="00063C09" w:rsidRPr="00063C09" w:rsidTr="00063C09"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Etika i pravo okoli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Pravno ure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đ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enje za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tite okoli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 u Hrvatskoj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Suvremene tehnologije zaštite okoliša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 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Podru</w:t>
      </w: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je pravnih propisa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obuhva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 sljede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 programske cjeline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063C09" w:rsidRPr="00063C09" w:rsidRDefault="00063C09" w:rsidP="00063C0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260"/>
      </w:tblGrid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88" w:lineRule="atLeast"/>
              <w:textAlignment w:val="baseline"/>
              <w:outlineLvl w:val="1"/>
              <w:rPr>
                <w:rFonts w:ascii="Minion Pro" w:eastAsia="Times New Roman" w:hAnsi="Minion Pro" w:cs="Times New Roman"/>
                <w:b/>
                <w:bCs/>
                <w:sz w:val="36"/>
                <w:szCs w:val="36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Ustrojstvo dr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avne vlasti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88" w:lineRule="atLeast"/>
              <w:textAlignment w:val="baseline"/>
              <w:outlineLvl w:val="1"/>
              <w:rPr>
                <w:rFonts w:ascii="Minion Pro" w:eastAsia="Times New Roman" w:hAnsi="Minion Pro" w:cs="Times New Roman"/>
                <w:b/>
                <w:bCs/>
                <w:sz w:val="36"/>
                <w:szCs w:val="36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b/>
                <w:bCs/>
                <w:sz w:val="24"/>
                <w:szCs w:val="24"/>
                <w:bdr w:val="none" w:sz="0" w:space="0" w:color="auto" w:frame="1"/>
                <w:lang w:val="en-GB"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državna uprava, lokalna samouprava i uprava)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Gospodarsko pravo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Zakon o obrtu i zakonski uvjeti za obavljanje obrta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pojam obrta i obrtnika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uvjeti za obavljanje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vrste obrta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upis obrta u obrtni registar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poslovanje i prestanak obrta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trgova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ka dru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tva i obavljanje obrta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Organiziranost obrta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(komorski sustav)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Zakon o radu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(osnovni propisi o:  zasnivanju i prestanku radnog odnosa, radno vrijeme radnika, odmori i dopusti, obrazovanje i osposobljavanje za rad, plaća radnika, zdravstveno i mirovinsko osiguranje)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Zakonodavstvo vezano uz obrazovanje nau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nika i majstora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Zapošljavanje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Carinski propisi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 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Pravni subjekti, pravna i poslovna sposobnost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(fizičke i pravne osobe)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Trgova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ka dru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tva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trgovac pojedinac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dru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tva osoba i dru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tva kapitala</w:t>
            </w:r>
          </w:p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stečajni postupak, likvidacija i ovršni postupak)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Nasljedno pravo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Zemlji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ne knjige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posjed i vlasni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tvo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Zaštita na radu</w:t>
            </w:r>
          </w:p>
        </w:tc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(zaštita na radu, zaštita od požara i zdravstvena zaštita)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V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eastAsia="hr-HR"/>
        </w:rPr>
        <w:t>.</w:t>
      </w:r>
    </w:p>
    <w:p w:rsidR="00063C09" w:rsidRPr="00063C09" w:rsidRDefault="00063C09" w:rsidP="00063C09">
      <w:pPr>
        <w:shd w:val="clear" w:color="auto" w:fill="FFFFFF"/>
        <w:spacing w:line="630" w:lineRule="atLeast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Podru</w:t>
      </w: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je osnova podu</w:t>
      </w: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avanja nau</w:t>
      </w: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b/>
          <w:bC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nika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 obuhva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a sljede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e programske cjeline</w:t>
      </w:r>
      <w:r w:rsidRPr="00063C09">
        <w:rPr>
          <w:rFonts w:ascii="Minion Pro" w:eastAsia="Times New Roman" w:hAnsi="Minion Pro" w:cs="Times New Roman"/>
          <w:color w:val="000000"/>
          <w:kern w:val="36"/>
          <w:sz w:val="24"/>
          <w:szCs w:val="24"/>
          <w:bdr w:val="none" w:sz="0" w:space="0" w:color="auto" w:frame="1"/>
          <w:lang w:eastAsia="hr-HR"/>
        </w:rPr>
        <w:t>:</w:t>
      </w:r>
    </w:p>
    <w:tbl>
      <w:tblPr>
        <w:tblW w:w="0" w:type="auto"/>
        <w:tblInd w:w="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7746"/>
      </w:tblGrid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Obrazovni sustav Republik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lastRenderedPageBreak/>
              <w:t>e Hrvatske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lastRenderedPageBreak/>
              <w:t> 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Osnovna pitanja stru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nog obrazovanja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struktura obrazovanja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aj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ravnopravnost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ansi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mobilnost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vertikalna i horizontalna prohodnost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veza obrazovanja i tr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ta rada 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enje strukovnog obrazovanja za pojedinca i dru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tvo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Dvojni sustav obrazovanja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zada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kole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zada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 obrtni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kih radionica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suradnja razli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itih mjesta za realizaciju prakse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polazne to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ke za osiguranje kvalitete obrazovanja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Izobrazba u obrtni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koj radionici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podu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avanje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odgajanje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vrednovanje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nadzor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savjetovanje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Planiranje i provo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đ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enje naukovanja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Pedago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ka osnova obrazovanja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proces 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vrste 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nastavne situacije i tipi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ne te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 u 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motivacija i pomo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u 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Zada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 majstora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–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stru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nog 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itelja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(poduka u radnoj sredini putem naloga, provjera uspjeha naukovanja, pismena provjera, sustav ocjenjivanja, mapa praktične nastave)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Mladi u obrazovanju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pubertet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adolescencija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odraslost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habitualne osobine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socijalno porijeklo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okru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ž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prethodno obrazovanje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pozitivno stajali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te prema mladima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prepoznavanje te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ko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a uvjetovano razvojem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motiviranje i preno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en-GB" w:eastAsia="hr-HR"/>
              </w:rPr>
              <w:t>enje odgovornosti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)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Socijalno komunikativne osnove vođenja ljudi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(verbalna, neverbalna komunikacija, prepoznavanje konflikata i pravila za njihovo savladavanje, socijalno ponašanje i autoritativno djelovanje)</w:t>
            </w:r>
          </w:p>
          <w:p w:rsidR="00063C09" w:rsidRPr="00063C09" w:rsidRDefault="00063C09" w:rsidP="00063C09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 </w:t>
            </w:r>
          </w:p>
        </w:tc>
      </w:tr>
      <w:tr w:rsidR="00063C09" w:rsidRPr="00063C09" w:rsidTr="00063C09"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Zakonska regulativa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ind w:left="1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Zakon o obrtu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nastavni planovi i programi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odredbe Pravilnika o vezanim i povla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š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tenim obrtima i 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inu izdavanja povlastica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odredbe Pravilnika o postupku i 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inu izdavanja dozvola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(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licenca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te uvjeta za izvo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đ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enje prakti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nog dijela naukovanja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odredbe Pravilnika o 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inu ostvarivanja programa naukovanja i stru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nog osposobljavanja za vezane obrte te o pravima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obvezama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pra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enju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vrednovanju i ocjenjivanju nau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nika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,  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odredbe Pravilnika o postupku i 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inu polaganja pomo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ć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ni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kog ispita i odredbe Pravilnika o postupku i na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inu polaganja majstorskog ispita te ispita o stru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č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val="de-DE" w:eastAsia="hr-HR"/>
              </w:rPr>
              <w:t>noj osposobljenosti</w:t>
            </w: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VI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063C09" w:rsidRPr="00063C09" w:rsidRDefault="00063C09" w:rsidP="00063C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Okvirni sadržaji programskih cjelina, navedeni u poglavljima III., IV. i V., osnova su za oblikovanje ispitnih pitanja na majstorskim ispitima.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lastRenderedPageBreak/>
        <w:t>VII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063C09" w:rsidRPr="00063C09" w:rsidRDefault="00063C09" w:rsidP="00063C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Posebni dio ispita obuhvaća praktična i teorijska stručna znanja, nužna za samostalno obavljanje obrta u zvanju majstor elektroničar-mehaničar iz sljedećih područja rada:</w:t>
      </w:r>
    </w:p>
    <w:p w:rsidR="00063C09" w:rsidRPr="00063C09" w:rsidRDefault="00063C09" w:rsidP="00063C09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cap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I</w:t>
      </w:r>
      <w:r w:rsidRPr="00063C09">
        <w:rPr>
          <w:rFonts w:ascii="Minion Pro" w:eastAsia="Times New Roman" w:hAnsi="Minion Pro" w:cs="Times New Roman"/>
          <w:cap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. </w:t>
      </w:r>
      <w:r w:rsidRPr="00063C09">
        <w:rPr>
          <w:rFonts w:ascii="Minion Pro" w:eastAsia="Times New Roman" w:hAnsi="Minion Pro" w:cs="Times New Roman"/>
          <w:cap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PODRU</w:t>
      </w:r>
      <w:r w:rsidRPr="00063C09">
        <w:rPr>
          <w:rFonts w:ascii="Minion Pro" w:eastAsia="Times New Roman" w:hAnsi="Minion Pro" w:cs="Times New Roman"/>
          <w:caps/>
          <w:color w:val="000000"/>
          <w:kern w:val="36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ap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JE RADA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-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izrada tiskanih plo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održavanje i popravci elektroničkih mjernih instrumenata;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proizvodnja električne i elektroničke opreme za mjerno-regulacijske uređaje i sustave;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postavljanje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održavanje: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elektroničkih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za nadzor i upravljanje proizvodnih postrojenja,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      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elektroničkih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i uređaja za napajanje,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      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elektroničkih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protupožarnih sustava i sustava protiv provala,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      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elektroničkih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signalnih i dojavnih uređaja;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proizvodnja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, popravak i održavanje: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električnih uredskih strojeva,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računala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druge opreme za obradu podataka,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      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radiotelevizijskih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komunikacijskih aparata i opreme;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popravci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aparata za snimanje i reprodukciju zvuka i slike te prateće opreme;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postavljanje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održavanje antenskih sustava;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postavljanje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održavanje sustava za simultane prijevode, sustava za ozvučivanje dvorana i    elektroničkih glasačkih sustava i ostalih elektroničkih aparata i sustava;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proizvodnja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, popravak i održavanje: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40" w:hanging="3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Arial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instrumenata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aparata za primjenu u medicinske, kirurške, zubarske i veterinarske svrhe, elektro-dijagnostičkih aparata,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40" w:hanging="3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Arial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elektroničkih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mjernih aparata i instrumenata,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40" w:hanging="3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Arial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električnih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instrumenata i aparata za izvođenje kemijskih i fizikalnih analiza,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40" w:hanging="3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Arial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različitih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električnih, mjernih, kontrolnih ili regulacijskih instrumenata, aparata ili uređaja za   procesno-instrumentacijske i druge namjene,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40" w:hanging="3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Arial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različitih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električnih mjernih, kontrolnih ili regulacijskih instrumenata, aparata ili uređaja za procesno-instrumentacijske i druge namjene u protueksplozijskoj zaštiti.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630" w:lineRule="atLeast"/>
        <w:jc w:val="center"/>
        <w:textAlignment w:val="baseline"/>
        <w:outlineLvl w:val="0"/>
        <w:rPr>
          <w:rFonts w:ascii="Minion Pro" w:eastAsia="Times New Roman" w:hAnsi="Minion Pro" w:cs="Times New Roman"/>
          <w:b/>
          <w:bCs/>
          <w:color w:val="000000"/>
          <w:kern w:val="36"/>
          <w:sz w:val="29"/>
          <w:szCs w:val="29"/>
          <w:lang w:eastAsia="hr-HR"/>
        </w:rPr>
      </w:pPr>
      <w:r w:rsidRPr="00063C09">
        <w:rPr>
          <w:rFonts w:ascii="Minion Pro" w:eastAsia="Times New Roman" w:hAnsi="Minion Pro" w:cs="Times New Roman"/>
          <w:caps/>
          <w:color w:val="000000"/>
          <w:kern w:val="36"/>
          <w:sz w:val="24"/>
          <w:szCs w:val="24"/>
          <w:bdr w:val="none" w:sz="0" w:space="0" w:color="auto" w:frame="1"/>
          <w:lang w:val="en-GB" w:eastAsia="hr-HR"/>
        </w:rPr>
        <w:t>II. SADRŽAJ ISPITA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Ispitni sadržaj majstorskog ispita za zvanje majstor elektroničar-mehaničar obuhvaća sljedeće programske cjeline: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i/>
          <w:iCs/>
          <w:color w:val="000000"/>
          <w:sz w:val="24"/>
          <w:szCs w:val="24"/>
          <w:bdr w:val="none" w:sz="0" w:space="0" w:color="auto" w:frame="1"/>
          <w:lang w:val="de-DE" w:eastAsia="hr-HR"/>
        </w:rPr>
        <w:t>1. Praktični dio ispita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         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Ispitaniku se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praktičnom dijelu ispita zadaje praktična zadaća iz sljedećih područja: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tiskanih ploča;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popravak elektroničkih mjernih instrumenata;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izrada dijelova električne i elektroničke opreme za mjerno-regulacijske uređaje i sustave;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izrada elektroničkih sklopova i uređaja za napajanje;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popravci elektroničkih sklopova protupožarnih sustava i sustava protiv provala;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popravci elektroničkih sklopova signalnih i dojavnih uređaja;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izrada električne i elektroničke opreme za električne uredske strojeve;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popravak električnih uredskih strojeva;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izrada električne i elektroničke opreme za elektronička računala;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lastRenderedPageBreak/>
        <w:t>- popravak električne i elektroničke opreme elektroničkih računala;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 instaliranje računalskih sustava  za vođenje poslovanja, proizvodnih i drugih procesa;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dijelova i opreme radio, televizijskih i komunikacijskih aparata, uređaja za snimanje i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reprodukciju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zvuka i slike te prateće opreme;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postavljanje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antenskih radio i televizijskih sustava;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utvrđivanje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uzroka neispravnosti i popravak radio, televizijskih i komunikacijskih aparata,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 -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aparata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za snimanje i reprodukciju zvuka i slike te antenskih uređaja.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           Praktična izrada podrazumijeva: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razradu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projektne dokumentacije (razrada tehnološkog postupka, izbor i specifikacija materijala, alata i mjernog pribora, proračun troškova materijala i rada)  za proizvodnju sklopova ili tiskanih ploča;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tiskanih ploča i elektroničkih sklopova;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ispitivanje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i uređaja s otklanjanjem kvara;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popisa potrebnog materijala, utvrđivanje vremena za obavljanje rada; utvrđivanje cijene rada i materijala za radove održavanja;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provedbu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dokumentiranje potrebnih ispitivanja djelotvornosti mjera;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i dijelova električne i elektroničke opreme za električne uredske strojeve i računala;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ispitivanje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uredskih električnih strojeva i računala s otklanjanjem kvara;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instaliranje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programske podrške u računalske sustave za vođenje procesa;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nadogradnju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osobnoga računala (proširenje memorije, zamjena tvrdoga diska i disketne jedinice, ugradnja CD/DVD pisača);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za mjerenje, regulaciju i upravljanje uporabom mikroupravljača i programirljivih logičkih upravljača (PLC);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izradu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sklopova s programirljivim logičkim komponentama (GAL).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Pri izradi praktičnog dijela ispita ispitanik se mora pridržavati propisanih normi o radiokomunikacijskim i ostalim uređajima i instalacijama, mjera zaštite pri radu i zaštite okoliša, 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te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ostalih uvjeta koje odredi ispitna komisija.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t>2.  Stručno – teorijski sadržaji potrebni za obavljanje poslova primjerenih obrtu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2.1. 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Za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š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titne mjere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djelovanje elektri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ne struje na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ovjeka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pru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ž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anje prve pomo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 unesre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ć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enom od elektri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č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ne struje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zaštita od direktnih i indirektnih dodira,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opasnosti od požara i gašenje požara,  gašenje požara uzrokovanog električnom strujom,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zaštita od mehaničkih opasnosti u elektroničkoj radionici,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zaštita od štetnih tvari,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propisi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o zaštiti na radu.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2.2. Mjerni instrumenti i postupci: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mjerenje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otpora, kapaciteta i induktiviteta, mosne metode mjerenja otpora,    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digitalni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mjerni instrumenti,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osciloskop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mjerenja osciloskopom,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elektronički voltmetri, mjerenje razina i gušenja,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analizatori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signala,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instrumenti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 frekvencijskim bazama.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lastRenderedPageBreak/>
        <w:t>2.3. Materijali i komponente u elektronici: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materijali za vodiče, vodovi u elektronici,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otpornici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, kondenzatori i zavojnice,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izolacijski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materijali,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poluvodiči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poluvodičke komponente,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materijali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za spajanje i tehnike spajanja u elektronici, lemljenje, tehnologija površinske montaže.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2.4. Električni strojevi: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izvedbe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primjena transformatora, mrežni transformator,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asinkroni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motori (trofazni kratkospojeni kavezni, jednofazni, regulacija broja okretaja),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istosmjerni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strojevi (izvedbe, motorni i generatorski rad, uzbuda, regulacija broja okretaja),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izmjenični kolektorski motori,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mali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 xml:space="preserve"> i mikro–električni motori, koračni motori.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2.5. Elektronički sklopovi: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pojačala s bipolarnim tranzistorima,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pojačala s unipolarnim tranzistorima,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diferencijalno pojačalo, Darlingtonov spoj,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pojačala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 povratnom vezom,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operacijsko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pojačalo i primjene,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ispravljački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spojevi i stabilizatori napona,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impulsni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sklopovi (tranzistor kao sklopka, multivibratori),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170" w:hanging="17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sklopovi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 xml:space="preserve"> s optoelektroničkim elementima.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2.6. Digitalna elektronika: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analogni i digitalni signali, prikaz digitalnih signala binarnim i heksadecimalnim brojevima,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osnovni logički sklopovi,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skupine integriranih digitalnih sklopova (TTL, CMOS, BiCMOS), svojstva sklopova i međusobna usporedba,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kodovi, sklopovi za kodiranje i dekodiranje,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bistabili, brojila i registri,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sklopovi za generiranje i kašnjenje impulsa,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sklopovi za selektiranje, distribuciju i nadzor prijenosa podataka,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memorijski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sklopovi (upisno-ispisne memorije, ispisne memorije),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programirljive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logičke komponente (PAL, GAL)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DA i AD pretvarači.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2.7. Procesna mjerenja: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mjerna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osjetila, mjerni pretvornici, mjerni slogovi, slogovi za pokazivanje i zapisivanje,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aktivni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mjerni pretvornici (pretvorba mehaničke, toplinske, svjetlosne i kemijske energije u električnu),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pasivni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mjerni pretvornici (otporni kruti i tekućinski, induktivni i kapacitivni),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električno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mjerenje mehaničkih, toplinskih i kemijskih veličina,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standardizirani mjerni signali,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prijenosnici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pojačala mjernih signala,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daljinska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mjerenja i upravljanje.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2.8. Automatsko reguliranje procesa: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lastRenderedPageBreak/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blok-shema i karakteristike regulacijskog kruga,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procesi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jedinice regulacijskih krugova s proporcionalnim, derivacijskim i integracijskim  djelovanjem,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povratna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veza u regulacijskim krugovima,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regulatori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 kontinuiranim i nekontinuiranim  djelovanjem,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dvopoložajni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tropoložajni regulatori,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mikroprocesorski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regulatori,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ugađanje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zatvorenih regulacijskih krugova.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2.9. Mikroprocesori i mikroračunala: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arhitektura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djelovanje mikroprocesora,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sustav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djelovanje mikroračunala,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uporaba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mikroprocesora i mikroračunala u upravljanju procesima.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2.10. Građa računala: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arhitektura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djelovanje mikroprocesora,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sabirnički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sustavi,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memorijski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sustavi računala,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ulazno-izlazne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naprave računala i pristupni sklopovi.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2.11. Sistemska programska podrška: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operacijski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sustavi,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programi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na strojnoj razini,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pokretanje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sustava,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upravljanje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ulazno-izlaznim napravama,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memorijski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prostor,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vanjske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memorije.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2.12. 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Uredski ure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đ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aji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strojevi za umna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ž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anje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,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fotokopirni aparati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eastAsia="hr-HR"/>
        </w:rPr>
        <w:t>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registar-blagajne, strojevi za frankiranje, terminali za izdavanje karata,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strojevi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 xml:space="preserve"> za sortiranje, brojanje, umatanje i izdavanje novca.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2.13. Dijagnostika i održavanje računala i digitalnih uređaja: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pouzdanost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mikroprocesorskog sustava,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neispravnosti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komponenata mikroprocesorskog sustava,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neispravnost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u analognim i digitalnim sklopovima računala i digitalnih uređaja,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otkrivanje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neispravnosti u mikroprocesorskom sustavu (hardverske i softverske tehnike),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dijagnostički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sustavi za testiranje u mikroprocesorski upravljanim sustavima.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2.14. Informacije i komunikacije: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akustički signali, pretvorba zvuka u električni signal, pretvorba električnog signala u zvuk,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elektromagnetski valovi, frekvencijska područja, prijenos signala elektromagnetskim valovima, modulacije,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osobine vida, optičko-električni pretvarači,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prijenos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televizijske slike, prijenosni sustavi,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antene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antenski sustavi,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satelitski prijenos i antene,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optičke elektrokomunikacije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lastRenderedPageBreak/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uređaji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 xml:space="preserve"> mobilne telefonije.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2.15. Radioprijamnici: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sklopovi radioprijamnika,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stereofonska tehnika,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UKV-FM primopredajnik.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2.16. TV prijamnici: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sklopovi TV prijamnika,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televizija visoke rezulucije,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de-DE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de-DE" w:eastAsia="hr-HR"/>
        </w:rPr>
        <w:t>prijamnik za satelitski prijenos slike,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digitalni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TV sustavi i prijamnici.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2.17. Tehnika snimanja i reprodukcije zvuka i slike: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uređaji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za magnetsko zapisivanje (analogno i digitalno) i reprodukciju zvuka,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reprodukcija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mehaničkog zapisa zvuka,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uređaji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za magnetsko zapisivanje i reprodukciju slike,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uređaji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za reprodukciju optičkog zapisa zvuka i slike.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2.18. Uporaba računala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a) Uporaba računala u projektiranju i proizvodnji: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CAD programi,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uporaba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računala za simulacije elektroničkih sklopova i izradu tiskanih ploča,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uporaba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računala u vođenju procesa.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b) Upravljanje postrojenja s pomoću računala: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komponente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sustava (senzori, trošila, sistemske komponente), povezivanje komponenata sabirnicama (EIB) i strukture sustava.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c) Primjena mikroupravljača i programirljivih logičkih upravljača (PLC) u sustavima upravljanja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 računala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postroja.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d) Primjena računala u audio i video tehnici: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audio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kartice,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pohrana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obrada zvuka računalom,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video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kartice,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pohrana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i obrada mirne i pokretne slike računalom.</w:t>
      </w:r>
    </w:p>
    <w:p w:rsidR="00063C09" w:rsidRPr="00063C09" w:rsidRDefault="00063C09" w:rsidP="00063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e)  Uporaba računala u vođenju obrtničke radionice: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baze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podataka (materijal, stranke),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tehnički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proračuni, proračuni troškova,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poslovna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korespondencija,</w:t>
      </w:r>
    </w:p>
    <w:p w:rsidR="00063C09" w:rsidRPr="00063C09" w:rsidRDefault="00063C09" w:rsidP="00063C09">
      <w:pPr>
        <w:shd w:val="clear" w:color="auto" w:fill="FFFFFF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-</w:t>
      </w:r>
      <w:r w:rsidRPr="00063C09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GB" w:eastAsia="hr-HR"/>
        </w:rPr>
        <w:t>         </w:t>
      </w:r>
      <w:proofErr w:type="gramStart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vođenje</w:t>
      </w:r>
      <w:proofErr w:type="gramEnd"/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poslovnih knjiga.</w:t>
      </w:r>
    </w:p>
    <w:p w:rsidR="00063C09" w:rsidRPr="00063C09" w:rsidRDefault="00063C09" w:rsidP="00063C0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008"/>
      </w:tblGrid>
      <w:tr w:rsidR="00063C09" w:rsidRPr="00063C09" w:rsidTr="00063C09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72"/>
                <w:szCs w:val="72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bdr w:val="none" w:sz="0" w:space="0" w:color="auto" w:frame="1"/>
                <w:lang w:eastAsia="hr-HR"/>
              </w:rPr>
              <w:t>Klasa: 406-01/03-01/10</w:t>
            </w:r>
          </w:p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72"/>
                <w:szCs w:val="72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bdr w:val="none" w:sz="0" w:space="0" w:color="auto" w:frame="1"/>
                <w:lang w:eastAsia="hr-HR"/>
              </w:rPr>
              <w:t>Ur. broj: 515-03-03-12</w:t>
            </w:r>
          </w:p>
          <w:p w:rsidR="00063C09" w:rsidRPr="00063C09" w:rsidRDefault="00063C09" w:rsidP="00063C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72"/>
                <w:szCs w:val="72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bdr w:val="none" w:sz="0" w:space="0" w:color="auto" w:frame="1"/>
                <w:lang w:eastAsia="hr-HR"/>
              </w:rPr>
              <w:t>Zagreb, 17. prosinca 2003.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C09" w:rsidRPr="00063C09" w:rsidRDefault="00063C09" w:rsidP="00063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72"/>
                <w:szCs w:val="72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72"/>
                <w:szCs w:val="72"/>
                <w:bdr w:val="none" w:sz="0" w:space="0" w:color="auto" w:frame="1"/>
                <w:lang w:eastAsia="hr-HR"/>
              </w:rPr>
              <w:t> </w:t>
            </w:r>
          </w:p>
          <w:p w:rsidR="00063C09" w:rsidRPr="00063C09" w:rsidRDefault="00063C09" w:rsidP="00063C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72"/>
                <w:szCs w:val="72"/>
                <w:lang w:eastAsia="hr-HR"/>
              </w:rPr>
            </w:pPr>
            <w:r w:rsidRPr="00063C09">
              <w:rPr>
                <w:rFonts w:ascii="Minion Pro" w:eastAsia="Times New Roman" w:hAnsi="Minion Pro" w:cs="Times New Roman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</w:p>
        </w:tc>
      </w:tr>
    </w:tbl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Ministar</w:t>
      </w:r>
    </w:p>
    <w:p w:rsidR="00063C09" w:rsidRPr="00063C09" w:rsidRDefault="00063C09" w:rsidP="00063C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val="en-GB" w:eastAsia="hr-HR"/>
        </w:rPr>
        <w:t>Željko Pecek</w:t>
      </w: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, v. r.</w:t>
      </w:r>
    </w:p>
    <w:p w:rsidR="00063C09" w:rsidRPr="00063C09" w:rsidRDefault="00063C09" w:rsidP="00063C0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63C09">
        <w:rPr>
          <w:rFonts w:ascii="Minion Pro" w:eastAsia="Times New Roman" w:hAnsi="Minion Pro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> </w:t>
      </w:r>
    </w:p>
    <w:p w:rsidR="00204585" w:rsidRDefault="00204585">
      <w:bookmarkStart w:id="0" w:name="_GoBack"/>
      <w:bookmarkEnd w:id="0"/>
    </w:p>
    <w:sectPr w:rsidR="0020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09"/>
    <w:rsid w:val="00063C09"/>
    <w:rsid w:val="002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9914-E6A1-4F6C-8A6C-879DDFE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2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2019-10-24T08:51:00Z</dcterms:created>
  <dcterms:modified xsi:type="dcterms:W3CDTF">2019-10-24T09:00:00Z</dcterms:modified>
</cp:coreProperties>
</file>